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F44" w:rsidRPr="002E2D2B" w:rsidRDefault="00FB5F44" w:rsidP="002E2D2B">
      <w:pPr>
        <w:rPr>
          <w:rFonts w:ascii="Times New Roman" w:eastAsia="Times New Roman" w:hAnsi="Times New Roman" w:cs="Times New Roman"/>
          <w:b/>
          <w:bCs/>
          <w:color w:val="000000"/>
          <w:sz w:val="24"/>
          <w:szCs w:val="24"/>
        </w:rPr>
      </w:pPr>
      <w:r w:rsidRPr="002E2D2B">
        <w:rPr>
          <w:rFonts w:ascii="Times New Roman" w:eastAsia="Times New Roman" w:hAnsi="Times New Roman" w:cs="Times New Roman"/>
          <w:b/>
          <w:bCs/>
          <w:color w:val="000000"/>
          <w:sz w:val="24"/>
          <w:szCs w:val="24"/>
        </w:rPr>
        <w:t>AGREEMENT BETWEEN A MEDTRONIC PACEMAKER AND LINQ IN REPORTING PAROXYSMAL ATRIAL FIBRILLATION</w:t>
      </w:r>
    </w:p>
    <w:p w:rsidR="002E2D2B" w:rsidRPr="002E2D2B" w:rsidRDefault="00FB5F44" w:rsidP="002E2D2B">
      <w:pPr>
        <w:rPr>
          <w:rFonts w:ascii="Times New Roman" w:eastAsia="Times New Roman" w:hAnsi="Times New Roman" w:cs="Times New Roman"/>
          <w:b/>
          <w:bCs/>
          <w:color w:val="000000"/>
          <w:sz w:val="24"/>
          <w:szCs w:val="24"/>
          <w:u w:val="single"/>
        </w:rPr>
      </w:pPr>
      <w:r w:rsidRPr="002E2D2B">
        <w:rPr>
          <w:rFonts w:ascii="Times New Roman" w:eastAsia="Times New Roman" w:hAnsi="Times New Roman" w:cs="Times New Roman"/>
          <w:b/>
          <w:bCs/>
          <w:color w:val="000000"/>
          <w:sz w:val="24"/>
          <w:szCs w:val="24"/>
          <w:u w:val="single"/>
        </w:rPr>
        <w:t>J. Kneller</w:t>
      </w:r>
    </w:p>
    <w:p w:rsidR="00FB5F44" w:rsidRPr="002E2D2B" w:rsidRDefault="00FB5F44" w:rsidP="002E2D2B">
      <w:pPr>
        <w:rPr>
          <w:rFonts w:ascii="Times New Roman" w:eastAsia="Times New Roman" w:hAnsi="Times New Roman" w:cs="Times New Roman"/>
          <w:color w:val="000000"/>
          <w:sz w:val="24"/>
          <w:szCs w:val="24"/>
        </w:rPr>
      </w:pPr>
      <w:r w:rsidRPr="002E2D2B">
        <w:rPr>
          <w:rFonts w:ascii="Times New Roman" w:eastAsia="Times New Roman" w:hAnsi="Times New Roman" w:cs="Times New Roman"/>
          <w:color w:val="000000"/>
          <w:sz w:val="24"/>
          <w:szCs w:val="24"/>
        </w:rPr>
        <w:t>Astria Heart Institute, Yakima, WA, USA</w:t>
      </w:r>
    </w:p>
    <w:p w:rsidR="00FB5F44" w:rsidRPr="002E2D2B" w:rsidRDefault="00FB5F44" w:rsidP="002E2D2B">
      <w:pPr>
        <w:rPr>
          <w:rFonts w:ascii="Times New Roman" w:eastAsia="Times New Roman" w:hAnsi="Times New Roman" w:cs="Times New Roman"/>
          <w:color w:val="000000"/>
          <w:sz w:val="24"/>
          <w:szCs w:val="24"/>
        </w:rPr>
      </w:pPr>
    </w:p>
    <w:p w:rsidR="002E2D2B" w:rsidRDefault="002E2D2B" w:rsidP="002E2D2B">
      <w:pPr>
        <w:jc w:val="both"/>
        <w:rPr>
          <w:rFonts w:ascii="Times New Roman" w:eastAsia="Times New Roman" w:hAnsi="Times New Roman" w:cs="Times New Roman"/>
          <w:color w:val="000000"/>
          <w:sz w:val="24"/>
          <w:szCs w:val="24"/>
        </w:rPr>
      </w:pPr>
      <w:r w:rsidRPr="002E2D2B">
        <w:rPr>
          <w:rFonts w:ascii="Times New Roman" w:eastAsia="Times New Roman" w:hAnsi="Times New Roman" w:cs="Times New Roman"/>
          <w:b/>
          <w:bCs/>
          <w:color w:val="000000"/>
          <w:sz w:val="24"/>
          <w:szCs w:val="24"/>
        </w:rPr>
        <w:t>Objective</w:t>
      </w:r>
      <w:r w:rsidRPr="002E2D2B">
        <w:rPr>
          <w:rFonts w:ascii="Times New Roman" w:eastAsia="Times New Roman" w:hAnsi="Times New Roman" w:cs="Times New Roman"/>
          <w:color w:val="000000"/>
          <w:sz w:val="24"/>
          <w:szCs w:val="24"/>
        </w:rPr>
        <w:t>:</w:t>
      </w:r>
      <w:r w:rsidR="00FB5F44" w:rsidRPr="002E2D2B">
        <w:rPr>
          <w:rFonts w:ascii="Times New Roman" w:eastAsia="Times New Roman" w:hAnsi="Times New Roman" w:cs="Times New Roman"/>
          <w:color w:val="000000"/>
          <w:sz w:val="24"/>
          <w:szCs w:val="24"/>
        </w:rPr>
        <w:t xml:space="preserve"> The Medtronic Reveal LINQ insertable cardiac monitor (ICM) is widely used to diagnose and monitor AF. Correlation with Holter monitors has been demonstrated, however validation with continuous recordings of atrial electrograms (AEGMs) is lacking. </w:t>
      </w:r>
    </w:p>
    <w:p w:rsidR="002E2D2B" w:rsidRDefault="002E2D2B" w:rsidP="002E2D2B">
      <w:pPr>
        <w:jc w:val="both"/>
        <w:rPr>
          <w:rFonts w:ascii="Times New Roman" w:eastAsia="Times New Roman" w:hAnsi="Times New Roman" w:cs="Times New Roman"/>
          <w:color w:val="000000"/>
          <w:sz w:val="24"/>
          <w:szCs w:val="24"/>
        </w:rPr>
      </w:pPr>
      <w:r w:rsidRPr="002E2D2B">
        <w:rPr>
          <w:rFonts w:ascii="Times New Roman" w:eastAsia="Times New Roman" w:hAnsi="Times New Roman" w:cs="Times New Roman"/>
          <w:b/>
          <w:bCs/>
          <w:color w:val="000000"/>
          <w:sz w:val="24"/>
          <w:szCs w:val="24"/>
        </w:rPr>
        <w:t>Method</w:t>
      </w:r>
      <w:r w:rsidRPr="002E2D2B">
        <w:rPr>
          <w:rFonts w:ascii="Times New Roman" w:eastAsia="Times New Roman" w:hAnsi="Times New Roman" w:cs="Times New Roman"/>
          <w:color w:val="000000"/>
          <w:sz w:val="24"/>
          <w:szCs w:val="24"/>
        </w:rPr>
        <w:t>:</w:t>
      </w:r>
      <w:r w:rsidR="00FB5F44" w:rsidRPr="002E2D2B">
        <w:rPr>
          <w:rFonts w:ascii="Times New Roman" w:eastAsia="Times New Roman" w:hAnsi="Times New Roman" w:cs="Times New Roman"/>
          <w:color w:val="000000"/>
          <w:sz w:val="24"/>
          <w:szCs w:val="24"/>
        </w:rPr>
        <w:t xml:space="preserve"> Reporting of AF was compared in a patient implanted with a LINQ™ and subsequently a dual chamber Medtronic </w:t>
      </w:r>
      <w:proofErr w:type="spellStart"/>
      <w:r w:rsidR="00FB5F44" w:rsidRPr="002E2D2B">
        <w:rPr>
          <w:rFonts w:ascii="Times New Roman" w:eastAsia="Times New Roman" w:hAnsi="Times New Roman" w:cs="Times New Roman"/>
          <w:color w:val="000000"/>
          <w:sz w:val="24"/>
          <w:szCs w:val="24"/>
        </w:rPr>
        <w:t>Advisa</w:t>
      </w:r>
      <w:proofErr w:type="spellEnd"/>
      <w:r w:rsidR="00FB5F44" w:rsidRPr="002E2D2B">
        <w:rPr>
          <w:rFonts w:ascii="Times New Roman" w:eastAsia="Times New Roman" w:hAnsi="Times New Roman" w:cs="Times New Roman"/>
          <w:color w:val="000000"/>
          <w:sz w:val="24"/>
          <w:szCs w:val="24"/>
        </w:rPr>
        <w:t xml:space="preserve"> pacemaker (PM). LINQs were programmed to report AT/AF, and VEGMs &gt;0.3 mV were ensured with each interrogation. PM AEGMs were 0.6-1.2 mV during AF and &gt;2 mV during sinus rhythm. </w:t>
      </w:r>
    </w:p>
    <w:p w:rsidR="002E2D2B" w:rsidRDefault="002E2D2B" w:rsidP="002E2D2B">
      <w:pPr>
        <w:jc w:val="both"/>
        <w:rPr>
          <w:rFonts w:ascii="Times New Roman" w:eastAsia="Times New Roman" w:hAnsi="Times New Roman" w:cs="Times New Roman"/>
          <w:color w:val="000000"/>
          <w:sz w:val="24"/>
          <w:szCs w:val="24"/>
        </w:rPr>
      </w:pPr>
      <w:r w:rsidRPr="002E2D2B">
        <w:rPr>
          <w:rFonts w:ascii="Times New Roman" w:eastAsia="Times New Roman" w:hAnsi="Times New Roman" w:cs="Times New Roman"/>
          <w:b/>
          <w:bCs/>
          <w:color w:val="000000"/>
          <w:sz w:val="24"/>
          <w:szCs w:val="24"/>
        </w:rPr>
        <w:t>Results</w:t>
      </w:r>
      <w:r w:rsidRPr="002E2D2B">
        <w:rPr>
          <w:rFonts w:ascii="Times New Roman" w:eastAsia="Times New Roman" w:hAnsi="Times New Roman" w:cs="Times New Roman"/>
          <w:color w:val="000000"/>
          <w:sz w:val="24"/>
          <w:szCs w:val="24"/>
        </w:rPr>
        <w:t xml:space="preserve">: </w:t>
      </w:r>
      <w:r w:rsidR="00FB5F44" w:rsidRPr="002E2D2B">
        <w:rPr>
          <w:rFonts w:ascii="Times New Roman" w:eastAsia="Times New Roman" w:hAnsi="Times New Roman" w:cs="Times New Roman"/>
          <w:color w:val="000000"/>
          <w:sz w:val="24"/>
          <w:szCs w:val="24"/>
        </w:rPr>
        <w:t xml:space="preserve">AF increased following PM implant (Ap 94%, </w:t>
      </w:r>
      <w:proofErr w:type="spellStart"/>
      <w:r w:rsidR="00FB5F44" w:rsidRPr="002E2D2B">
        <w:rPr>
          <w:rFonts w:ascii="Times New Roman" w:eastAsia="Times New Roman" w:hAnsi="Times New Roman" w:cs="Times New Roman"/>
          <w:color w:val="000000"/>
          <w:sz w:val="24"/>
          <w:szCs w:val="24"/>
        </w:rPr>
        <w:t>Vp</w:t>
      </w:r>
      <w:proofErr w:type="spellEnd"/>
      <w:r w:rsidR="00FB5F44" w:rsidRPr="002E2D2B">
        <w:rPr>
          <w:rFonts w:ascii="Times New Roman" w:eastAsia="Times New Roman" w:hAnsi="Times New Roman" w:cs="Times New Roman"/>
          <w:color w:val="000000"/>
          <w:sz w:val="24"/>
          <w:szCs w:val="24"/>
        </w:rPr>
        <w:t xml:space="preserve"> 4%). Pace-termination of AF was not enabled. Over 8.5 months, AF burden was 3.4% (PM) and 3.9% (LINQ). Despite remarkable agreement in determination of atrial fibrillation between devices, there were multiple discrepancies between reported AF episodes ~1 hour in duration, with either device reporting increased episodes at times. </w:t>
      </w:r>
    </w:p>
    <w:p w:rsidR="00FB5F44" w:rsidRPr="002E2D2B" w:rsidRDefault="002E2D2B" w:rsidP="002E2D2B">
      <w:pPr>
        <w:jc w:val="both"/>
        <w:rPr>
          <w:rFonts w:ascii="Times New Roman" w:eastAsia="Times New Roman" w:hAnsi="Times New Roman" w:cs="Times New Roman"/>
          <w:color w:val="000000"/>
          <w:sz w:val="24"/>
          <w:szCs w:val="24"/>
        </w:rPr>
      </w:pPr>
      <w:r w:rsidRPr="002E2D2B">
        <w:rPr>
          <w:rFonts w:ascii="Times New Roman" w:eastAsia="Times New Roman" w:hAnsi="Times New Roman" w:cs="Times New Roman"/>
          <w:b/>
          <w:bCs/>
          <w:color w:val="000000"/>
          <w:sz w:val="24"/>
          <w:szCs w:val="24"/>
        </w:rPr>
        <w:t>Conclusions</w:t>
      </w:r>
      <w:r w:rsidRPr="002E2D2B">
        <w:rPr>
          <w:rFonts w:ascii="Times New Roman" w:eastAsia="Times New Roman" w:hAnsi="Times New Roman" w:cs="Times New Roman"/>
          <w:color w:val="000000"/>
          <w:sz w:val="24"/>
          <w:szCs w:val="24"/>
        </w:rPr>
        <w:t>:</w:t>
      </w:r>
      <w:r w:rsidR="00FB5F44" w:rsidRPr="002E2D2B">
        <w:rPr>
          <w:rFonts w:ascii="Times New Roman" w:eastAsia="Times New Roman" w:hAnsi="Times New Roman" w:cs="Times New Roman"/>
          <w:color w:val="000000"/>
          <w:sz w:val="24"/>
          <w:szCs w:val="24"/>
        </w:rPr>
        <w:t xml:space="preserve"> 1. During paroxysmal AF, discrepancies in reporting AF episodes ~</w:t>
      </w:r>
      <w:proofErr w:type="gramStart"/>
      <w:r w:rsidR="00FB5F44" w:rsidRPr="002E2D2B">
        <w:rPr>
          <w:rFonts w:ascii="Times New Roman" w:eastAsia="Times New Roman" w:hAnsi="Times New Roman" w:cs="Times New Roman"/>
          <w:color w:val="000000"/>
          <w:sz w:val="24"/>
          <w:szCs w:val="24"/>
        </w:rPr>
        <w:t>1 hour</w:t>
      </w:r>
      <w:proofErr w:type="gramEnd"/>
      <w:r w:rsidR="00FB5F44" w:rsidRPr="002E2D2B">
        <w:rPr>
          <w:rFonts w:ascii="Times New Roman" w:eastAsia="Times New Roman" w:hAnsi="Times New Roman" w:cs="Times New Roman"/>
          <w:color w:val="000000"/>
          <w:sz w:val="24"/>
          <w:szCs w:val="24"/>
        </w:rPr>
        <w:t xml:space="preserve"> duration may occur, with increased reporting by either the LINQ or PM. 2. During persistent AF, detection dropout by the LINQ may result in misclassification as paroxysmal AF. 3. LINQ errors may arise from </w:t>
      </w:r>
      <w:proofErr w:type="spellStart"/>
      <w:r w:rsidR="00FB5F44" w:rsidRPr="002E2D2B">
        <w:rPr>
          <w:rFonts w:ascii="Times New Roman" w:eastAsia="Times New Roman" w:hAnsi="Times New Roman" w:cs="Times New Roman"/>
          <w:color w:val="000000"/>
          <w:sz w:val="24"/>
          <w:szCs w:val="24"/>
        </w:rPr>
        <w:t>undersensing</w:t>
      </w:r>
      <w:proofErr w:type="spellEnd"/>
      <w:r w:rsidR="00FB5F44" w:rsidRPr="002E2D2B">
        <w:rPr>
          <w:rFonts w:ascii="Times New Roman" w:eastAsia="Times New Roman" w:hAnsi="Times New Roman" w:cs="Times New Roman"/>
          <w:color w:val="000000"/>
          <w:sz w:val="24"/>
          <w:szCs w:val="24"/>
        </w:rPr>
        <w:t xml:space="preserve"> VEGMs, Lorenz plot criteria, irregular ATs counted as AF. 4. PM errors may arise from </w:t>
      </w:r>
      <w:proofErr w:type="spellStart"/>
      <w:r w:rsidR="00FB5F44" w:rsidRPr="002E2D2B">
        <w:rPr>
          <w:rFonts w:ascii="Times New Roman" w:eastAsia="Times New Roman" w:hAnsi="Times New Roman" w:cs="Times New Roman"/>
          <w:color w:val="000000"/>
          <w:sz w:val="24"/>
          <w:szCs w:val="24"/>
        </w:rPr>
        <w:t>undersensing</w:t>
      </w:r>
      <w:proofErr w:type="spellEnd"/>
      <w:r w:rsidR="00FB5F44" w:rsidRPr="002E2D2B">
        <w:rPr>
          <w:rFonts w:ascii="Times New Roman" w:eastAsia="Times New Roman" w:hAnsi="Times New Roman" w:cs="Times New Roman"/>
          <w:color w:val="000000"/>
          <w:sz w:val="24"/>
          <w:szCs w:val="24"/>
        </w:rPr>
        <w:t xml:space="preserve"> AEGMs during AF, ATR rate criteria. 5. Small errors in the recognition of AF are important in the setting of cryptogenic stroke, where an AF episode 30 seconds in duration may be significant. 6. It is uncertain whether LINQ or PM reports AF more accurately. 7. Both LINQ and PM are highly useful tools to diagnose and monitor AF.</w:t>
      </w:r>
    </w:p>
    <w:p w:rsidR="00345DBB" w:rsidRPr="002E2D2B" w:rsidRDefault="00762A28" w:rsidP="002E2D2B">
      <w:pPr>
        <w:rPr>
          <w:sz w:val="24"/>
          <w:szCs w:val="24"/>
        </w:rPr>
      </w:pPr>
      <w:bookmarkStart w:id="0" w:name="_GoBack"/>
      <w:bookmarkEnd w:id="0"/>
    </w:p>
    <w:sectPr w:rsidR="00345DBB" w:rsidRPr="002E2D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28" w:rsidRDefault="00762A28" w:rsidP="002E2D2B">
      <w:r>
        <w:separator/>
      </w:r>
    </w:p>
  </w:endnote>
  <w:endnote w:type="continuationSeparator" w:id="0">
    <w:p w:rsidR="00762A28" w:rsidRDefault="00762A28" w:rsidP="002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28" w:rsidRDefault="00762A28" w:rsidP="002E2D2B">
      <w:r>
        <w:separator/>
      </w:r>
    </w:p>
  </w:footnote>
  <w:footnote w:type="continuationSeparator" w:id="0">
    <w:p w:rsidR="00762A28" w:rsidRDefault="00762A28" w:rsidP="002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D2B" w:rsidRPr="002E2D2B" w:rsidRDefault="002E2D2B" w:rsidP="002E2D2B">
    <w:pPr>
      <w:rPr>
        <w:rFonts w:ascii="Times New Roman" w:eastAsia="Times New Roman" w:hAnsi="Times New Roman" w:cs="Times New Roman"/>
        <w:color w:val="000000"/>
        <w:sz w:val="24"/>
        <w:szCs w:val="24"/>
      </w:rPr>
    </w:pPr>
    <w:r w:rsidRPr="002E2D2B">
      <w:rPr>
        <w:rFonts w:ascii="Times New Roman" w:eastAsia="Times New Roman" w:hAnsi="Times New Roman" w:cs="Times New Roman"/>
        <w:color w:val="000000"/>
        <w:sz w:val="24"/>
        <w:szCs w:val="24"/>
      </w:rPr>
      <w:t>18-A-1310-IAC</w:t>
    </w:r>
  </w:p>
  <w:p w:rsidR="002E2D2B" w:rsidRPr="002E2D2B" w:rsidRDefault="002E2D2B" w:rsidP="002E2D2B">
    <w:pPr>
      <w:rPr>
        <w:rFonts w:ascii="Times New Roman" w:eastAsia="Times New Roman" w:hAnsi="Times New Roman" w:cs="Times New Roman"/>
        <w:color w:val="000000"/>
        <w:sz w:val="24"/>
        <w:szCs w:val="24"/>
      </w:rPr>
    </w:pPr>
    <w:r w:rsidRPr="002E2D2B">
      <w:rPr>
        <w:rFonts w:ascii="Times New Roman" w:eastAsia="Times New Roman" w:hAnsi="Times New Roman" w:cs="Times New Roman"/>
        <w:color w:val="000000"/>
        <w:sz w:val="24"/>
        <w:szCs w:val="24"/>
      </w:rPr>
      <w:t>40. Atrial Fibrillation: Mechanisms and Management</w:t>
    </w:r>
  </w:p>
  <w:p w:rsidR="002E2D2B" w:rsidRDefault="002E2D2B">
    <w:pPr>
      <w:pStyle w:val="Header"/>
    </w:pPr>
  </w:p>
  <w:p w:rsidR="002E2D2B" w:rsidRDefault="002E2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44"/>
    <w:rsid w:val="002E2D2B"/>
    <w:rsid w:val="0030401F"/>
    <w:rsid w:val="00762A28"/>
    <w:rsid w:val="008A10D5"/>
    <w:rsid w:val="00A128E1"/>
    <w:rsid w:val="00E7251E"/>
    <w:rsid w:val="00FB5F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4C4A"/>
  <w15:chartTrackingRefBased/>
  <w15:docId w15:val="{8578FD16-C0F6-41D2-87AD-5827F3B9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D2B"/>
    <w:pPr>
      <w:tabs>
        <w:tab w:val="center" w:pos="4680"/>
        <w:tab w:val="right" w:pos="9360"/>
      </w:tabs>
    </w:pPr>
  </w:style>
  <w:style w:type="character" w:customStyle="1" w:styleId="HeaderChar">
    <w:name w:val="Header Char"/>
    <w:basedOn w:val="DefaultParagraphFont"/>
    <w:link w:val="Header"/>
    <w:uiPriority w:val="99"/>
    <w:rsid w:val="002E2D2B"/>
  </w:style>
  <w:style w:type="paragraph" w:styleId="Footer">
    <w:name w:val="footer"/>
    <w:basedOn w:val="Normal"/>
    <w:link w:val="FooterChar"/>
    <w:uiPriority w:val="99"/>
    <w:unhideWhenUsed/>
    <w:rsid w:val="002E2D2B"/>
    <w:pPr>
      <w:tabs>
        <w:tab w:val="center" w:pos="4680"/>
        <w:tab w:val="right" w:pos="9360"/>
      </w:tabs>
    </w:pPr>
  </w:style>
  <w:style w:type="character" w:customStyle="1" w:styleId="FooterChar">
    <w:name w:val="Footer Char"/>
    <w:basedOn w:val="DefaultParagraphFont"/>
    <w:link w:val="Footer"/>
    <w:uiPriority w:val="99"/>
    <w:rsid w:val="002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2018-06-02T04:50:00Z</dcterms:created>
  <dcterms:modified xsi:type="dcterms:W3CDTF">2018-06-02T04:52:00Z</dcterms:modified>
</cp:coreProperties>
</file>